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Intersection of ACEs, Overdose, and Suicide</w:t>
      </w:r>
    </w:p>
    <w:p w:rsidR="00000000" w:rsidDel="00000000" w:rsidP="00000000" w:rsidRDefault="00000000" w:rsidRPr="00000000" w14:paraId="00000002">
      <w:pPr>
        <w:pStyle w:val="Heading2"/>
        <w:rPr>
          <w:rFonts w:ascii="AppleSystemUIFont" w:cs="AppleSystemUIFont" w:eastAsia="AppleSystemUIFont" w:hAnsi="AppleSystemUIFont"/>
        </w:rPr>
      </w:pPr>
      <w:r w:rsidDel="00000000" w:rsidR="00000000" w:rsidRPr="00000000">
        <w:rPr>
          <w:rtl w:val="0"/>
        </w:rPr>
        <w:t xml:space="preserve">Timothy G. O’Brien, MPH</w:t>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t xml:space="preserve">AmeriCorps CHW, Epilepsy Foundation of New England</w:t>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tl w:val="0"/>
        </w:rPr>
        <w:t xml:space="preserve">“</w:t>
      </w:r>
      <w:r w:rsidDel="00000000" w:rsidR="00000000" w:rsidRPr="00000000">
        <w:rPr>
          <w:rtl w:val="0"/>
        </w:rPr>
        <w:t xml:space="preserve">I've seen the intersections between ACEs, overdose and suicide prevention in a lot of areas of my work. I think about it a lot with the patients I serve at the Epilepsy Foundation New England. A lot of the patientsexperience comorbid symptoms and they'll have things that they'll experience, traumatic things in theirpast, and they also have suicidal thoughts on top of these medical conditions and it just makes everythingworse for them. So I've seen all of these kinds of connections in that way. They're really connected in this broader picture of overall health as well, impacting immune systems. These patients are experiencing longer times in the hospital and hopefully we're able to help support them and mitigate that.</w:t>
      </w:r>
      <w:r w:rsidDel="00000000" w:rsidR="00000000" w:rsidRPr="00000000">
        <w:rPr>
          <w:sz w:val="17"/>
          <w:szCs w:val="17"/>
          <w:rtl w:val="0"/>
        </w:rPr>
        <w:t xml:space="preserve">”</w:t>
      </w: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rPr>
              <w:color w:val="000000"/>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82149D"/>
    <w:pPr>
      <w:spacing w:before="80"/>
      <w:outlineLvl w:val="0"/>
    </w:pPr>
    <w:rPr>
      <w:rFonts w:ascii="Krona One" w:cs="Calibri" w:eastAsia="Calibri" w:hAnsi="Krona One"/>
      <w:color w:val="000000"/>
      <w:sz w:val="32"/>
      <w:szCs w:val="36"/>
    </w:rPr>
  </w:style>
  <w:style w:type="paragraph" w:styleId="Heading2">
    <w:name w:val="heading 2"/>
    <w:basedOn w:val="Subtitle"/>
    <w:next w:val="Normal"/>
    <w:link w:val="Heading2Char"/>
    <w:unhideWhenUsed w:val="1"/>
    <w:qFormat w:val="1"/>
    <w:rsid w:val="004A5638"/>
    <w:pPr>
      <w:spacing w:line="240" w:lineRule="auto"/>
      <w:outlineLvl w:val="1"/>
    </w:pPr>
  </w:style>
  <w:style w:type="paragraph" w:styleId="Heading3">
    <w:name w:val="heading 3"/>
    <w:basedOn w:val="Normal"/>
    <w:next w:val="Normal"/>
    <w:link w:val="Heading3Char"/>
    <w:unhideWhenUsed w:val="1"/>
    <w:qFormat w:val="1"/>
    <w:rsid w:val="004A5638"/>
    <w:pPr>
      <w:spacing w:before="80"/>
      <w:outlineLvl w:val="2"/>
    </w:pPr>
    <w:rPr>
      <w:rFonts w:ascii="Krona One" w:cs="Calibri" w:eastAsia="Calibri" w:hAnsi="Krona One"/>
      <w:color w:val="0164bd"/>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paragraph" w:styleId="Subtitle">
    <w:name w:val="Subtitle"/>
    <w:basedOn w:val="Normal"/>
    <w:next w:val="Normal"/>
    <w:link w:val="SubtitleChar"/>
    <w:qFormat w:val="1"/>
    <w:rsid w:val="00D301DD"/>
    <w:pPr>
      <w:spacing w:before="80" w:line="480" w:lineRule="auto"/>
    </w:pPr>
    <w:rPr>
      <w:rFonts w:ascii="Krona One" w:cs="Calibri" w:eastAsia="Calibri" w:hAnsi="Krona One"/>
      <w:color w:val="054a91"/>
      <w:sz w:val="28"/>
      <w:szCs w:val="32"/>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mZOVCOJDq363zZpPY+m8Gh35A==">CgMxLjA4AHIhMWxvdmdLeHpJX3l6WWpYM3R0QWsyTnBRXzVjdzhHRmN4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